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социально-биологические и педагогические основы физического воспитания и самовоспитания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роль оптимальной двигательной активности в повышении функциональных и двигательных возможностей (тренированности) организма человека, работоспособности, в укреплении и поддержании здоровья, общей и профессиональной работоспособности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знать методику самостоятельного использования средств физической культуры и спорта для рекреации в процессе учебной и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самостоятельно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уметь использовать систематические занятия физическими упражнениями, различными видами спорта для формирования и развития психических качеств и свойств личности, необходимых в социально-культурной и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уметь переносить физические нагрузки и перегрузки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УК-7.7 владеть  навыками повышения своих функциональных и двигательных способностей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владеть должным уровнем физической подготовленности, необходимой для освоения профессиональных умений и навыков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УК-7.9 владеть навыками рефлексии и самокоррекции с использованием методов и средств самоконтроля за своим состоянием</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92.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«Физическая культура и спорт (элективная дисциплина)» относится к обязательной части, является дисциплиной Блока Б1. «Дисциплины (модули)». Модуль, формирующий компетенции физической культуры основной профессиональной образовательной программы высшего образования - бакалавриат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направлению подготовки 42.03.01 Реклама и связи с общественностью.</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Модуль, формирующий основы безопасности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3,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волейбола. Правила  соревнований игры в волейбол. Общефизическая подготовка развитие мышц: туловища, рук,  ног. Развитие :</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207.7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6264.5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9239.68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p>
            <w:pPr>
              <w:jc w:val="left"/>
              <w:spacing w:after="0" w:line="240" w:lineRule="auto"/>
              <w:rPr>
                <w:sz w:val="24"/>
                <w:szCs w:val="24"/>
              </w:rPr>
            </w:pPr>
            <w:r>
              <w:rPr>
                <w:rFonts w:ascii="Times New Roman" w:hAnsi="Times New Roman" w:cs="Times New Roman"/>
                <w:color w:val="#000000"/>
                <w:sz w:val="24"/>
                <w:szCs w:val="24"/>
              </w:rPr>
              <w:t> 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pPr>
              <w:jc w:val="left"/>
              <w:spacing w:after="0" w:line="240" w:lineRule="auto"/>
              <w:rPr>
                <w:sz w:val="24"/>
                <w:szCs w:val="24"/>
              </w:rPr>
            </w:pPr>
            <w:r>
              <w:rPr>
                <w:rFonts w:ascii="Times New Roman" w:hAnsi="Times New Roman" w:cs="Times New Roman"/>
                <w:color w:val="#000000"/>
                <w:sz w:val="24"/>
                <w:szCs w:val="24"/>
              </w:rPr>
              <w:t> -выносливости;</w:t>
            </w:r>
          </w:p>
          <w:p>
            <w:pPr>
              <w:jc w:val="left"/>
              <w:spacing w:after="0" w:line="240" w:lineRule="auto"/>
              <w:rPr>
                <w:sz w:val="24"/>
                <w:szCs w:val="24"/>
              </w:rPr>
            </w:pPr>
            <w:r>
              <w:rPr>
                <w:rFonts w:ascii="Times New Roman" w:hAnsi="Times New Roman" w:cs="Times New Roman"/>
                <w:color w:val="#000000"/>
                <w:sz w:val="24"/>
                <w:szCs w:val="24"/>
              </w:rPr>
              <w:t>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pPr>
              <w:jc w:val="left"/>
              <w:spacing w:after="0" w:line="240" w:lineRule="auto"/>
              <w:rPr>
                <w:sz w:val="24"/>
                <w:szCs w:val="24"/>
              </w:rPr>
            </w:pPr>
            <w:r>
              <w:rPr>
                <w:rFonts w:ascii="Times New Roman" w:hAnsi="Times New Roman" w:cs="Times New Roman"/>
                <w:color w:val="#000000"/>
                <w:sz w:val="24"/>
                <w:szCs w:val="24"/>
              </w:rPr>
              <w:t> нижняя прямая;</w:t>
            </w:r>
          </w:p>
          <w:p>
            <w:pPr>
              <w:jc w:val="left"/>
              <w:spacing w:after="0" w:line="240" w:lineRule="auto"/>
              <w:rPr>
                <w:sz w:val="24"/>
                <w:szCs w:val="24"/>
              </w:rPr>
            </w:pPr>
            <w:r>
              <w:rPr>
                <w:rFonts w:ascii="Times New Roman" w:hAnsi="Times New Roman" w:cs="Times New Roman"/>
                <w:color w:val="#000000"/>
                <w:sz w:val="24"/>
                <w:szCs w:val="24"/>
              </w:rPr>
              <w:t> нижняя боковая;</w:t>
            </w:r>
          </w:p>
          <w:p>
            <w:pPr>
              <w:jc w:val="left"/>
              <w:spacing w:after="0" w:line="240" w:lineRule="auto"/>
              <w:rPr>
                <w:sz w:val="24"/>
                <w:szCs w:val="24"/>
              </w:rPr>
            </w:pPr>
            <w:r>
              <w:rPr>
                <w:rFonts w:ascii="Times New Roman" w:hAnsi="Times New Roman" w:cs="Times New Roman"/>
                <w:color w:val="#000000"/>
                <w:sz w:val="24"/>
                <w:szCs w:val="24"/>
              </w:rPr>
              <w:t> верхняя боковая;</w:t>
            </w:r>
          </w:p>
          <w:p>
            <w:pPr>
              <w:jc w:val="left"/>
              <w:spacing w:after="0" w:line="240" w:lineRule="auto"/>
              <w:rPr>
                <w:sz w:val="24"/>
                <w:szCs w:val="24"/>
              </w:rPr>
            </w:pPr>
            <w:r>
              <w:rPr>
                <w:rFonts w:ascii="Times New Roman" w:hAnsi="Times New Roman" w:cs="Times New Roman"/>
                <w:color w:val="#000000"/>
                <w:sz w:val="24"/>
                <w:szCs w:val="24"/>
              </w:rPr>
              <w:t> 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3902.8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5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25.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2024-2025_ФГОС3++2024_Бак-ЗФО-РСО(24)_plx_Физическая культура и спорт (элективная дисциплина)</dc:title>
  <dc:creator>FastReport.NET</dc:creator>
</cp:coreProperties>
</file>